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azione dei mutui non previsti espressamente in atti fondamentali del Consiglio Comunale ed emissione dei prestiti obbligazion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azione dei mutui non previsti espressamente in atti fondamentali del Consiglio Comunale ed emissione dei prestiti obbligazion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