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00 - 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GIUNTA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Giunta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Indirizzi e criteri di massima per il nucleo di valutazione/OIV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Indirizzi e criteri di massima per il nucleo di valutazione/OIV.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