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ifiche superfici immobili soggetti a tariff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ifiche superfici immobili soggetti a tariff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